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4"/>
        <w:ind w:firstLine="666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left" w:pos="7860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Додаток № 5</w:t>
      </w:r>
      <w:r/>
    </w:p>
    <w:p>
      <w:pPr>
        <w:pStyle w:val="724"/>
        <w:ind w:firstLine="666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left" w:pos="7860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Конкурсної документації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ind w:right="198"/>
        <w:jc w:val="bot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Форма «Конкурсна пропозиція» подається  Учасником на фірмовому бланку у вигляді, наведеному нижче.</w:t>
      </w:r>
      <w:r/>
    </w:p>
    <w:p>
      <w:pPr>
        <w:ind w:right="198"/>
        <w:jc w:val="bot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Учасник не повинен відступати від даної форми.</w:t>
      </w:r>
      <w:r/>
    </w:p>
    <w:p>
      <w:pPr>
        <w:ind w:right="198"/>
        <w:jc w:val="bot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Учасник-переможець після оприлюднення на Prozorro повідомлення про намір укласти договір, повинен надати конкурсну пропозицію приведену у відповідність до показників за результатами проведеного аукціону.</w:t>
      </w:r>
      <w:r/>
    </w:p>
    <w:p>
      <w:pPr>
        <w:jc w:val="center"/>
        <w:spacing w:after="0"/>
        <w:widowControl w:val="off"/>
        <w:tabs>
          <w:tab w:val="left" w:pos="3360" w:leader="none"/>
          <w:tab w:val="center" w:pos="5191" w:leader="none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widowControl w:val="off"/>
        <w:tabs>
          <w:tab w:val="left" w:pos="3360" w:leader="none"/>
          <w:tab w:val="center" w:pos="5191" w:leader="none"/>
        </w:tabs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КОНКУРСН</w:t>
      </w:r>
      <w:r>
        <w:rPr>
          <w:rFonts w:ascii="Times New Roman" w:hAnsi="Times New Roman" w:cs="Times New Roman"/>
          <w:b/>
          <w:bCs/>
          <w:lang w:val="uk-UA"/>
        </w:rPr>
        <w:t xml:space="preserve">О-ЦІНОВА</w:t>
      </w:r>
      <w:r>
        <w:rPr>
          <w:rFonts w:ascii="Times New Roman" w:hAnsi="Times New Roman" w:cs="Times New Roman"/>
          <w:b/>
          <w:bCs/>
          <w:lang w:val="uk-UA"/>
        </w:rPr>
        <w:t xml:space="preserve"> ПРОПОЗИЦІЯ</w:t>
      </w:r>
      <w:r/>
    </w:p>
    <w:p>
      <w:pPr>
        <w:jc w:val="center"/>
        <w:spacing w:after="0" w:line="240" w:lineRule="auto"/>
        <w:widowControl w:val="off"/>
        <w:tabs>
          <w:tab w:val="left" w:pos="0" w:leader="none"/>
          <w:tab w:val="center" w:pos="5191" w:leader="none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№ _______ від __________ 20__ року</w:t>
      </w:r>
      <w:r/>
    </w:p>
    <w:p>
      <w:pPr>
        <w:jc w:val="center"/>
        <w:spacing w:after="0" w:line="240" w:lineRule="auto"/>
        <w:widowControl w:val="off"/>
        <w:tabs>
          <w:tab w:val="left" w:pos="0" w:leader="none"/>
          <w:tab w:val="center" w:pos="5191" w:leader="none"/>
        </w:tabs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u w:val="single"/>
          <w:lang w:val="uk-UA"/>
        </w:rPr>
        <w:t xml:space="preserve">    </w:t>
      </w:r>
      <w:r>
        <w:rPr>
          <w:rFonts w:ascii="Times New Roman" w:hAnsi="Times New Roman"/>
          <w:i/>
          <w:color w:val="000000" w:themeColor="text1"/>
          <w:highlight w:val="green"/>
          <w:u w:val="single"/>
          <w:lang w:val="uk-UA"/>
        </w:rPr>
        <w:t xml:space="preserve">(зазначається повна назва Учасника, місцезнаходження та код ЄДРПОУ)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надає свою пропозицію щодо участі у Конкурсі на закупівлю згідно </w:t>
      </w:r>
      <w:r>
        <w:rPr>
          <w:rFonts w:ascii="Times New Roman" w:hAnsi="Times New Roman" w:cs="Times New Roman"/>
          <w:lang w:val="uk-UA"/>
        </w:rPr>
        <w:t xml:space="preserve">ДК 021:2015</w:t>
      </w:r>
      <w:r>
        <w:rPr>
          <w:rFonts w:ascii="Times New Roman" w:hAnsi="Times New Roman" w:cs="Times New Roman"/>
          <w:i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highlight w:val="green"/>
          <w:u w:val="single"/>
          <w:lang w:val="uk-UA"/>
        </w:rPr>
        <w:t xml:space="preserve">(</w:t>
      </w:r>
      <w:r>
        <w:rPr>
          <w:rFonts w:ascii="Times New Roman" w:hAnsi="Times New Roman" w:cs="Times New Roman"/>
          <w:i/>
          <w:highlight w:val="green"/>
          <w:u w:val="single"/>
          <w:shd w:val="clear" w:color="auto" w:fill="ffffff"/>
          <w:lang w:val="uk-UA"/>
        </w:rPr>
        <w:t xml:space="preserve">конкретна назва товару чи послуги)</w:t>
      </w:r>
      <w:r>
        <w:rPr>
          <w:rFonts w:ascii="Times New Roman" w:hAnsi="Times New Roman" w:cs="Times New Roman"/>
          <w:i/>
          <w:u w:val="single"/>
          <w:lang w:val="uk-UA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val="uk-UA"/>
        </w:rPr>
        <w:suppressLineNumbers/>
      </w:pPr>
      <w:r>
        <w:rPr>
          <w:rFonts w:ascii="Times New Roman" w:hAnsi="Times New Roman" w:cs="Times New Roman"/>
          <w:lang w:val="uk-UA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Вивчивши документацію електронних торгів та технічні вимоги до предмету закупівлі, ми, що уповноваже</w:t>
      </w:r>
      <w:r>
        <w:rPr>
          <w:rFonts w:ascii="Times New Roman" w:hAnsi="Times New Roman" w:cs="Times New Roman"/>
          <w:lang w:val="uk-UA"/>
        </w:rPr>
        <w:t xml:space="preserve">ні Учасником на підписання пропозиції, Договору про закупівлю, маємо можливість та згодні виконати вимоги Замовника та Договору про закупівлю на таких умовах та повністю погоджуємося із вимогами конкурсної документації та в разі перемоги підписати Договір.</w:t>
      </w:r>
      <w:r>
        <w:rPr>
          <w:rFonts w:ascii="Times New Roman" w:hAnsi="Times New Roman" w:cs="Times New Roman"/>
          <w:b/>
          <w:lang w:val="uk-UA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</w:r>
      <w:r/>
    </w:p>
    <w:tbl>
      <w:tblPr>
        <w:tblStyle w:val="718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widowControl w:val="o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Повне найменування Учасника 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widowControl w:val="o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Код ЄДРПОУ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(юридична та фактична)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Е-mail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Відомості про керівника (посада, ПІБ, тел.)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Відомості про підписанта договору (посада, ПІБ, тел.)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Відомості про підписанта документів конкурсної пропозиції (посада, ПІБ, тел.)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Строк дії пропозиції (кал. дні)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Банківські реквізити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постачальника (виробник, дилер, дистриб’ютор, трейдер, тощо)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Дозвільні документи (ліцензії, дозволи тощо)*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Відсутність/наявність податкового боргу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Відсутність/наявність кримінальних, виконавчих проваджень, арешту рахунків/майна,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які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можуть вплинути на виконання договірних зобов’язань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Відсутність/наявність фактів </w:t>
            </w:r>
            <w:r>
              <w:rPr>
                <w:rFonts w:ascii="Times New Roman" w:hAnsi="Times New Roman" w:cs="Times New Roman"/>
              </w:rPr>
              <w:t xml:space="preserve">притягнення до кримінальної відповідальності службових осіб (керівника, підписанта договору), наявності у них судимостей за вчинення злочинів у сфері корупції та службових зловживань - зокрема, пов’язаний із хабарництвом, шахрайством та відмиванням коштів.</w:t>
            </w:r>
            <w:r/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8" w:type="dxa"/>
            <w:textDirection w:val="lrTb"/>
            <w:noWrap w:val="false"/>
          </w:tcPr>
          <w:p>
            <w:pPr>
              <w:jc w:val="both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*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 випадку, якщо діяльність підлягає ліцензуванню або потребує спеціального дозволу;</w:t>
            </w:r>
            <w:r/>
          </w:p>
          <w:p>
            <w:pPr>
              <w:jc w:val="both"/>
              <w:rPr>
                <w:rFonts w:ascii="Times New Roman" w:hAnsi="Times New Roman"/>
                <w:i/>
                <w:sz w:val="20"/>
                <w:szCs w:val="20"/>
                <w:highlight w:val="red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red"/>
                <w:lang w:val="uk-UA"/>
              </w:rPr>
            </w:r>
            <w:r/>
          </w:p>
          <w:p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Товар, що пропонується </w:t>
            </w:r>
            <w:r>
              <w:rPr>
                <w:rFonts w:ascii="Times New Roman" w:hAnsi="Times New Roman"/>
                <w:highlight w:val="green"/>
                <w:u w:val="single"/>
                <w:lang w:val="uk-UA"/>
              </w:rPr>
              <w:t xml:space="preserve">___Назва Учасника_____</w:t>
            </w:r>
            <w:r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відповідає технічним вимогам </w:t>
            </w:r>
            <w:r>
              <w:rPr>
                <w:rFonts w:ascii="Times New Roman" w:hAnsi="Times New Roman"/>
                <w:lang w:val="uk-UA"/>
              </w:rPr>
              <w:t xml:space="preserve">зазначеним Замовником </w:t>
            </w:r>
            <w:r>
              <w:rPr>
                <w:rFonts w:ascii="Times New Roman" w:hAnsi="Times New Roman"/>
                <w:lang w:val="uk-UA"/>
              </w:rPr>
              <w:t xml:space="preserve">до пре</w:t>
            </w:r>
            <w:r>
              <w:rPr>
                <w:rFonts w:ascii="Times New Roman" w:hAnsi="Times New Roman"/>
                <w:lang w:val="uk-UA"/>
              </w:rPr>
              <w:t xml:space="preserve">дмету закупівлі згідно</w:t>
            </w:r>
            <w:r>
              <w:rPr>
                <w:rStyle w:val="727"/>
                <w:color w:val="auto"/>
                <w:lang w:val="ru-RU"/>
              </w:rPr>
              <w:t xml:space="preserve"> </w:t>
            </w:r>
            <w:r>
              <w:rPr>
                <w:rStyle w:val="727"/>
                <w:rFonts w:ascii="Times New Roman" w:hAnsi="Times New Roman" w:cs="Times New Roman"/>
                <w:lang w:val="ru-RU"/>
              </w:rPr>
              <w:t xml:space="preserve">Додатку 3</w:t>
            </w:r>
            <w:r>
              <w:rPr>
                <w:rStyle w:val="727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конкурсної документації торгів на закупівлю</w:t>
            </w:r>
            <w:r>
              <w:rPr>
                <w:rFonts w:ascii="Times New Roman" w:hAnsi="Times New Roman"/>
                <w:lang w:val="uk-UA"/>
              </w:rPr>
              <w:t xml:space="preserve"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/>
          </w:p>
          <w:p>
            <w:pPr>
              <w:jc w:val="both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  <w:r/>
          </w:p>
          <w:p>
            <w:pPr>
              <w:jc w:val="both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Маємо можливість та погоджуємося виконати умови конкурсу на умовах, зазначених у пропозиції за наступними цінами: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r>
            <w:r/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1535"/>
        <w:gridCol w:w="334"/>
        <w:gridCol w:w="857"/>
        <w:gridCol w:w="1072"/>
        <w:gridCol w:w="1091"/>
        <w:gridCol w:w="1250"/>
        <w:gridCol w:w="873"/>
        <w:gridCol w:w="1467"/>
        <w:gridCol w:w="939"/>
      </w:tblGrid>
      <w:tr>
        <w:trPr>
          <w:trHeight w:val="876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60"/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п/п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Найменування товару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 Вим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sz w:val="20"/>
                <w:szCs w:val="20"/>
                <w:lang w:val="uk-UA"/>
                <w14:ligatures w14:val="none"/>
              </w:rPr>
            </w:r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Кількість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Ціна без ПДВ (UAH)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Сума без ПДВ (UAH)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Умови постачання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Умови оплати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Строк поставки (днів)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Гарантія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(міс)</w:t>
            </w:r>
            <w:r/>
          </w:p>
        </w:tc>
      </w:tr>
      <w:tr>
        <w:trPr>
          <w:trHeight w:val="286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0" w:type="auto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</w:tr>
      <w:tr>
        <w:trPr>
          <w:trHeight w:val="302"/>
        </w:trPr>
        <w:tc>
          <w:tcPr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727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Разом без ПДВ: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</w:tr>
      <w:tr>
        <w:trPr>
          <w:trHeight w:val="286"/>
        </w:trPr>
        <w:tc>
          <w:tcPr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727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ПДВ: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</w:tr>
      <w:tr>
        <w:trPr>
          <w:trHeight w:val="286"/>
        </w:trPr>
        <w:tc>
          <w:tcPr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W w:w="727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Разом з ПДВ: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</w:tr>
    </w:tbl>
    <w:p>
      <w:pPr>
        <w:pStyle w:val="723"/>
        <w:jc w:val="both"/>
        <w:spacing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</w:r>
      <w:r/>
    </w:p>
    <w:p>
      <w:pPr>
        <w:pStyle w:val="723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Ми погоджуємося з умовами, що ви можете відхилити нашу чи всі конкурсні пропозиції згідно з умовами Конкурсної документації та розуміємо, що Ви не обмежені у прийнятті будь-якої іншої пропозиції з більш вигідними для Вас умовами.  </w:t>
      </w:r>
      <w:r/>
    </w:p>
    <w:p>
      <w:pPr>
        <w:pStyle w:val="723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Ми розуміємо та погоджуємося, що Ви можете відмінити процедуру закупівлі у разі наявності обставин.</w:t>
      </w:r>
      <w:r/>
    </w:p>
    <w:p>
      <w:pPr>
        <w:pStyle w:val="723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разі визначення нас переможцем торгів та прийняття рішення про намір укласти договір, ми беремо на себе зобов’язання підписати договір із Замовником </w:t>
      </w:r>
      <w:r>
        <w:rPr>
          <w:rFonts w:ascii="Times New Roman" w:hAnsi="Times New Roman" w:cs="Times New Roman"/>
          <w:lang w:val="uk-UA"/>
        </w:rPr>
        <w:t xml:space="preserve">відповідно до чинного законодавства не раніше ніж через 2 робочих дні після оприлюднення рішення про визначення Переможцем Конкурсу.</w:t>
      </w:r>
      <w:r/>
    </w:p>
    <w:p>
      <w:pPr>
        <w:pStyle w:val="723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Зазначеним нижче підписом ми підтверджуємо повну, безумовну і беззаперечну згоду з усіма умовами проведення процедури закупівлі, визначеними в конкурсній документації.</w:t>
      </w:r>
      <w:r/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</w:r>
      <w:r/>
    </w:p>
    <w:tbl>
      <w:tblPr>
        <w:tblW w:w="10024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>
        <w:trPr>
          <w:jc w:val="center"/>
        </w:trPr>
        <w:tc>
          <w:tcPr>
            <w:tcW w:w="3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________________________</w:t>
            </w:r>
            <w:r/>
          </w:p>
        </w:tc>
        <w:tc>
          <w:tcPr>
            <w:tcW w:w="3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________________________</w:t>
            </w:r>
            <w:r/>
          </w:p>
        </w:tc>
        <w:tc>
          <w:tcPr>
            <w:tcW w:w="3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________________________</w:t>
            </w:r>
            <w:r/>
          </w:p>
        </w:tc>
      </w:tr>
      <w:tr>
        <w:trPr>
          <w:jc w:val="center"/>
        </w:trPr>
        <w:tc>
          <w:tcPr>
            <w:tcW w:w="3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посада уповноваженої особи Учасника</w:t>
            </w:r>
            <w:r/>
          </w:p>
        </w:tc>
        <w:tc>
          <w:tcPr>
            <w:tcW w:w="3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підпис та печатка (за наявності)</w:t>
            </w:r>
            <w:r/>
          </w:p>
        </w:tc>
        <w:tc>
          <w:tcPr>
            <w:tcW w:w="3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прізвище, ініціали</w:t>
            </w:r>
            <w:r/>
          </w:p>
        </w:tc>
      </w:tr>
    </w:tbl>
    <w:p>
      <w:pPr>
        <w:pStyle w:val="719"/>
        <w:jc w:val="right"/>
        <w:spacing w:before="0" w:beforeAutospacing="0" w:after="0" w:afterAutospacing="0"/>
        <w:rPr>
          <w:i/>
        </w:rPr>
      </w:pPr>
      <w:r>
        <w:rPr>
          <w:i/>
        </w:rPr>
      </w:r>
      <w:r/>
    </w:p>
    <w:p>
      <w:pPr>
        <w:rPr>
          <w:rFonts w:ascii="Times New Roman" w:hAnsi="Times New Roman" w:eastAsia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uk-UA" w:eastAsia="uk-UA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2240" w:h="15840" w:orient="portrait"/>
      <w:pgMar w:top="568" w:right="850" w:bottom="1134" w:left="1701" w:header="708" w:footer="35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>
      <w:rPr>
        <w:lang w:val="ru-RU" w:eastAsia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819" w:hanging="360"/>
      </w:pPr>
      <w:rPr>
        <w:rFonts w:hint="default" w:ascii="Wingdings" w:hAnsi="Wingdings"/>
        <w:color w:val="2e74b5" w:themeColor="accent1" w:themeShade="BF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5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80" w:hanging="360"/>
      </w:pPr>
      <w:rPr>
        <w:rFonts w:hint="default" w:ascii="Wingdings" w:hAnsi="Wingdings"/>
        <w:b/>
        <w:color w:val="2e74b5" w:themeColor="accent1" w:themeShade="BF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  <w:b/>
        <w:color w:val="2e74b5" w:themeColor="accent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805" w:hanging="360"/>
      </w:pPr>
      <w:rPr>
        <w:rFonts w:hint="default" w:ascii="Times New Roman" w:hAnsi="Times New Roman" w:eastAsia="Times New Roman" w:cs="Times New Roman"/>
        <w:color w:val="auto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65" w:hanging="360"/>
      </w:pPr>
      <w:rPr>
        <w:rFonts w:hint="default" w:ascii="Wingdings" w:hAnsi="Wingdings"/>
        <w:b/>
        <w:color w:val="2e74b5" w:themeColor="accent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8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25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b/>
        <w:color w:val="2e74b5" w:themeColor="accent1" w:themeShade="BF"/>
        <w:sz w:val="22"/>
        <w:szCs w:val="2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b/>
        <w:color w:val="2e74b5" w:themeColor="accent1" w:themeShade="BF"/>
        <w:sz w:val="22"/>
        <w:szCs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10" w:hanging="360"/>
      </w:pPr>
      <w:rPr>
        <w:rFonts w:hint="default" w:ascii="Wingdings" w:hAnsi="Wingdings"/>
        <w:b/>
        <w:color w:val="2e74b5" w:themeColor="accent1" w:themeShade="BF"/>
        <w:sz w:val="24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5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b/>
        <w:color w:val="2e74b5" w:themeColor="accent1" w:themeShade="BF"/>
        <w:sz w:val="22"/>
        <w:szCs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26" w:hanging="360"/>
      </w:pPr>
      <w:rPr>
        <w:rFonts w:hint="default" w:ascii="Wingdings" w:hAnsi="Wingdings"/>
        <w:b/>
        <w:color w:val="2e74b5" w:themeColor="accent1" w:themeShade="BF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6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400" w:hanging="360"/>
      </w:pPr>
      <w:rPr>
        <w:rFonts w:hint="default" w:ascii="Wingdings" w:hAnsi="Wingdings"/>
        <w:b/>
        <w:color w:val="2e74b5" w:themeColor="accent1" w:themeShade="BF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b/>
        <w:color w:val="2e74b5" w:themeColor="accent1" w:themeShade="BF"/>
        <w:sz w:val="22"/>
        <w:szCs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 w:val="0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17"/>
  </w:num>
  <w:num w:numId="9">
    <w:abstractNumId w:val="1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4"/>
  </w:num>
  <w:num w:numId="18">
    <w:abstractNumId w:val="2"/>
  </w:num>
  <w:num w:numId="19">
    <w:abstractNumId w:val="0"/>
  </w:num>
  <w:num w:numId="20">
    <w:abstractNumId w:val="8"/>
  </w:num>
  <w:num w:numId="21">
    <w:abstractNumId w:val="18"/>
  </w:num>
  <w:num w:numId="22">
    <w:abstractNumId w:val="10"/>
  </w:num>
  <w:num w:numId="23">
    <w:abstractNumId w:val="15"/>
  </w:num>
  <w:num w:numId="24">
    <w:abstractNumId w:val="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5"/>
    <w:link w:val="34"/>
    <w:uiPriority w:val="10"/>
    <w:rPr>
      <w:sz w:val="48"/>
      <w:szCs w:val="48"/>
    </w:rPr>
  </w:style>
  <w:style w:type="character" w:styleId="37">
    <w:name w:val="Subtitle Char"/>
    <w:basedOn w:val="715"/>
    <w:link w:val="734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29"/>
    <w:uiPriority w:val="99"/>
  </w:style>
  <w:style w:type="character" w:styleId="45">
    <w:name w:val="Footer Char"/>
    <w:basedOn w:val="715"/>
    <w:link w:val="731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5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table" w:styleId="718">
    <w:name w:val="Table Grid"/>
    <w:basedOn w:val="7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9">
    <w:name w:val="Normal (Web)"/>
    <w:basedOn w:val="714"/>
    <w:link w:val="72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720" w:customStyle="1">
    <w:name w:val="Обычный (веб) Знак"/>
    <w:link w:val="719"/>
    <w:uiPriority w:val="99"/>
    <w:qFormat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21" w:customStyle="1">
    <w:name w:val="Обычный1"/>
    <w:qFormat/>
    <w:pPr>
      <w:spacing w:after="0" w:line="276" w:lineRule="auto"/>
    </w:pPr>
    <w:rPr>
      <w:rFonts w:ascii="Arial" w:hAnsi="Arial" w:eastAsia="Arial" w:cs="Arial"/>
      <w:color w:val="000000"/>
      <w:lang w:val="ru-RU" w:eastAsia="ru-RU"/>
    </w:rPr>
  </w:style>
  <w:style w:type="paragraph" w:styleId="722">
    <w:name w:val="List Paragraph"/>
    <w:basedOn w:val="714"/>
    <w:link w:val="737"/>
    <w:uiPriority w:val="34"/>
    <w:qFormat/>
    <w:pPr>
      <w:contextualSpacing/>
      <w:ind w:left="720"/>
      <w:spacing w:after="200" w:line="276" w:lineRule="auto"/>
    </w:pPr>
    <w:rPr>
      <w:rFonts w:eastAsiaTheme="minorEastAsia"/>
      <w:lang w:val="uk-UA" w:eastAsia="uk-UA"/>
    </w:rPr>
  </w:style>
  <w:style w:type="paragraph" w:styleId="723" w:customStyle="1">
    <w:name w:val="LO-normal"/>
    <w:uiPriority w:val="99"/>
    <w:pPr>
      <w:spacing w:after="0" w:line="276" w:lineRule="auto"/>
    </w:pPr>
    <w:rPr>
      <w:rFonts w:ascii="Arial" w:hAnsi="Arial" w:eastAsia="Tahoma" w:cs="Arial"/>
      <w:color w:val="000000"/>
      <w:lang w:val="ru-RU" w:eastAsia="zh-CN"/>
    </w:rPr>
  </w:style>
  <w:style w:type="paragraph" w:styleId="724">
    <w:name w:val="HTML Preformatted"/>
    <w:basedOn w:val="714"/>
    <w:link w:val="725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uk-UA" w:eastAsia="ar-SA"/>
    </w:rPr>
  </w:style>
  <w:style w:type="character" w:styleId="725" w:customStyle="1">
    <w:name w:val="Стандартный HTML Знак"/>
    <w:basedOn w:val="715"/>
    <w:link w:val="724"/>
    <w:rPr>
      <w:rFonts w:ascii="Courier New" w:hAnsi="Courier New" w:eastAsia="Times New Roman" w:cs="Courier New"/>
      <w:sz w:val="20"/>
      <w:szCs w:val="20"/>
      <w:lang w:val="uk-UA" w:eastAsia="ar-SA"/>
    </w:rPr>
  </w:style>
  <w:style w:type="character" w:styleId="726">
    <w:name w:val="Strong"/>
    <w:basedOn w:val="715"/>
    <w:qFormat/>
    <w:rPr>
      <w:b/>
      <w:bCs/>
    </w:rPr>
  </w:style>
  <w:style w:type="character" w:styleId="727">
    <w:name w:val="Hyperlink"/>
    <w:basedOn w:val="715"/>
    <w:qFormat/>
    <w:rPr>
      <w:color w:val="0000ff"/>
      <w:u w:val="single"/>
    </w:rPr>
  </w:style>
  <w:style w:type="paragraph" w:styleId="728" w:customStyle="1">
    <w:name w:val="rvps2"/>
    <w:basedOn w:val="71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9">
    <w:name w:val="Header"/>
    <w:basedOn w:val="714"/>
    <w:link w:val="730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730" w:customStyle="1">
    <w:name w:val="Верхний колонтитул Знак"/>
    <w:basedOn w:val="715"/>
    <w:link w:val="729"/>
    <w:uiPriority w:val="99"/>
  </w:style>
  <w:style w:type="paragraph" w:styleId="731">
    <w:name w:val="Footer"/>
    <w:basedOn w:val="714"/>
    <w:link w:val="732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732" w:customStyle="1">
    <w:name w:val="Нижний колонтитул Знак"/>
    <w:basedOn w:val="715"/>
    <w:link w:val="731"/>
    <w:uiPriority w:val="99"/>
  </w:style>
  <w:style w:type="paragraph" w:styleId="733" w:customStyle="1">
    <w:name w:val="tj"/>
    <w:basedOn w:val="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734">
    <w:name w:val="Subtitle"/>
    <w:basedOn w:val="714"/>
    <w:next w:val="714"/>
    <w:link w:val="735"/>
    <w:pPr>
      <w:keepLines/>
      <w:keepNext/>
      <w:spacing w:after="320" w:line="276" w:lineRule="auto"/>
    </w:pPr>
    <w:rPr>
      <w:rFonts w:ascii="Arial" w:hAnsi="Arial" w:eastAsia="Times New Roman" w:cs="Times New Roman"/>
      <w:color w:val="666666"/>
      <w:sz w:val="30"/>
      <w:szCs w:val="20"/>
      <w:lang w:val="ru" w:eastAsia="ru-RU"/>
    </w:rPr>
  </w:style>
  <w:style w:type="character" w:styleId="735" w:customStyle="1">
    <w:name w:val="Подзаголовок Знак"/>
    <w:basedOn w:val="715"/>
    <w:link w:val="734"/>
    <w:rPr>
      <w:rFonts w:ascii="Arial" w:hAnsi="Arial" w:eastAsia="Times New Roman" w:cs="Times New Roman"/>
      <w:color w:val="666666"/>
      <w:sz w:val="30"/>
      <w:szCs w:val="20"/>
      <w:lang w:val="ru" w:eastAsia="ru-RU"/>
    </w:rPr>
  </w:style>
  <w:style w:type="paragraph" w:styleId="736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character" w:styleId="737" w:customStyle="1">
    <w:name w:val="Абзац списка Знак"/>
    <w:link w:val="722"/>
    <w:rPr>
      <w:rFonts w:eastAsiaTheme="minorEastAsia"/>
      <w:lang w:val="uk-UA" w:eastAsia="uk-UA"/>
    </w:rPr>
  </w:style>
  <w:style w:type="paragraph" w:styleId="738">
    <w:name w:val="Balloon Text"/>
    <w:basedOn w:val="714"/>
    <w:link w:val="7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9" w:customStyle="1">
    <w:name w:val="Текст выноски Знак"/>
    <w:basedOn w:val="715"/>
    <w:link w:val="7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07AD-4DD3-4A16-8375-F02C6F78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Цюпко Інна Володимирівна</dc:creator>
  <cp:keywords/>
  <dc:description/>
  <cp:revision>29</cp:revision>
  <dcterms:created xsi:type="dcterms:W3CDTF">2020-02-11T12:31:00Z</dcterms:created>
  <dcterms:modified xsi:type="dcterms:W3CDTF">2023-04-20T07:40:40Z</dcterms:modified>
</cp:coreProperties>
</file>